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83DD83" w14:textId="77777777" w:rsidR="00EE4980" w:rsidRPr="00911064" w:rsidRDefault="00EE4980" w:rsidP="00EE498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Appendix 2</w:t>
      </w:r>
      <w:r w:rsidRPr="00911064">
        <w:rPr>
          <w:rFonts w:ascii="Arial" w:hAnsi="Arial" w:cs="Arial"/>
          <w:b/>
        </w:rPr>
        <w:t xml:space="preserve"> - Key Performance Indicators</w:t>
      </w:r>
    </w:p>
    <w:p w14:paraId="509A9442" w14:textId="289A6F87" w:rsidR="00911064" w:rsidRDefault="00911064">
      <w:pPr>
        <w:rPr>
          <w:rFonts w:ascii="Arial" w:hAnsi="Arial" w:cs="Arial"/>
          <w:b/>
        </w:rPr>
      </w:pPr>
      <w:r w:rsidRPr="00911064">
        <w:rPr>
          <w:rFonts w:ascii="Arial" w:hAnsi="Arial" w:cs="Arial"/>
          <w:b/>
        </w:rPr>
        <w:t>Provision of Bio Decontamination Services and Ultra Violet Light C Technologies</w:t>
      </w:r>
    </w:p>
    <w:tbl>
      <w:tblPr>
        <w:tblStyle w:val="TableGrid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90"/>
        <w:gridCol w:w="3169"/>
        <w:gridCol w:w="1418"/>
        <w:gridCol w:w="4110"/>
        <w:gridCol w:w="5739"/>
      </w:tblGrid>
      <w:tr w:rsidR="000F200E" w:rsidRPr="00E1183C" w14:paraId="664A2A53" w14:textId="5BEDB4BA" w:rsidTr="000F200E">
        <w:trPr>
          <w:tblHeader/>
        </w:trPr>
        <w:tc>
          <w:tcPr>
            <w:tcW w:w="590" w:type="dxa"/>
          </w:tcPr>
          <w:p w14:paraId="664A2A4D" w14:textId="22B0F8AB" w:rsidR="000F200E" w:rsidRPr="009811C9" w:rsidRDefault="000F200E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  <w:szCs w:val="20"/>
              </w:rPr>
              <w:t>Ref</w:t>
            </w:r>
          </w:p>
        </w:tc>
        <w:tc>
          <w:tcPr>
            <w:tcW w:w="3169" w:type="dxa"/>
          </w:tcPr>
          <w:p w14:paraId="664A2A4E" w14:textId="77777777" w:rsidR="000F200E" w:rsidRPr="009811C9" w:rsidRDefault="000F200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11C9">
              <w:rPr>
                <w:rFonts w:ascii="Arial" w:hAnsi="Arial" w:cs="Arial"/>
                <w:b/>
                <w:sz w:val="20"/>
                <w:szCs w:val="20"/>
              </w:rPr>
              <w:t>Service Requirement</w:t>
            </w:r>
          </w:p>
        </w:tc>
        <w:tc>
          <w:tcPr>
            <w:tcW w:w="1418" w:type="dxa"/>
          </w:tcPr>
          <w:p w14:paraId="00669E41" w14:textId="147C63E8" w:rsidR="000F200E" w:rsidRPr="009811C9" w:rsidRDefault="000F200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Frequency</w:t>
            </w:r>
            <w:r w:rsidR="00F00BBC">
              <w:rPr>
                <w:rFonts w:ascii="Arial" w:hAnsi="Arial" w:cs="Arial"/>
                <w:b/>
                <w:sz w:val="20"/>
                <w:szCs w:val="20"/>
              </w:rPr>
              <w:t xml:space="preserve"> of monitoring</w:t>
            </w:r>
          </w:p>
        </w:tc>
        <w:tc>
          <w:tcPr>
            <w:tcW w:w="4110" w:type="dxa"/>
          </w:tcPr>
          <w:p w14:paraId="75EC78AC" w14:textId="69A9EB1E" w:rsidR="000F200E" w:rsidRPr="009811C9" w:rsidRDefault="000F200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Performance Measurement Criteria</w:t>
            </w:r>
          </w:p>
        </w:tc>
        <w:tc>
          <w:tcPr>
            <w:tcW w:w="5739" w:type="dxa"/>
          </w:tcPr>
          <w:p w14:paraId="4D63D06E" w14:textId="7C9957F6" w:rsidR="000F200E" w:rsidRPr="000F200E" w:rsidRDefault="000F200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200E">
              <w:rPr>
                <w:rFonts w:ascii="Arial" w:eastAsia="Times" w:hAnsi="Arial" w:cs="Arial"/>
                <w:b/>
                <w:sz w:val="20"/>
                <w:szCs w:val="20"/>
              </w:rPr>
              <w:t>Service Credit for Non-Compliance with Service Levels</w:t>
            </w:r>
          </w:p>
        </w:tc>
      </w:tr>
      <w:tr w:rsidR="00F00BBC" w:rsidRPr="00E1183C" w14:paraId="664A2A65" w14:textId="3AFDA7CC" w:rsidTr="000F200E">
        <w:trPr>
          <w:trHeight w:val="1984"/>
        </w:trPr>
        <w:tc>
          <w:tcPr>
            <w:tcW w:w="590" w:type="dxa"/>
          </w:tcPr>
          <w:p w14:paraId="664A2A5B" w14:textId="512DEA5A" w:rsidR="00F00BBC" w:rsidRPr="00E1183C" w:rsidRDefault="00F00B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69" w:type="dxa"/>
            <w:shd w:val="clear" w:color="auto" w:fill="auto"/>
          </w:tcPr>
          <w:p w14:paraId="664A2A5C" w14:textId="6FCB3180" w:rsidR="00F00BBC" w:rsidRPr="00270D15" w:rsidRDefault="00F00BBC" w:rsidP="00270D15">
            <w:pPr>
              <w:rPr>
                <w:rFonts w:ascii="Arial" w:hAnsi="Arial" w:cs="Arial"/>
                <w:b/>
              </w:rPr>
            </w:pPr>
            <w:r w:rsidRPr="00270D15">
              <w:rPr>
                <w:rFonts w:ascii="Arial" w:hAnsi="Arial" w:cs="Arial"/>
              </w:rPr>
              <w:t>Completion of implementation programme as planned with exception reporting for exclusions to plan.</w:t>
            </w:r>
            <w:r>
              <w:rPr>
                <w:rFonts w:ascii="Arial" w:hAnsi="Arial" w:cs="Arial"/>
              </w:rPr>
              <w:t xml:space="preserve"> – </w:t>
            </w:r>
            <w:r w:rsidRPr="006A6D4D">
              <w:rPr>
                <w:rFonts w:ascii="Arial" w:hAnsi="Arial" w:cs="Arial"/>
              </w:rPr>
              <w:t>2 failures</w:t>
            </w:r>
            <w:r>
              <w:rPr>
                <w:rFonts w:ascii="Arial" w:hAnsi="Arial" w:cs="Arial"/>
              </w:rPr>
              <w:t xml:space="preserve"> within the entire implementation</w:t>
            </w:r>
          </w:p>
        </w:tc>
        <w:tc>
          <w:tcPr>
            <w:tcW w:w="1418" w:type="dxa"/>
            <w:vMerge w:val="restart"/>
          </w:tcPr>
          <w:p w14:paraId="283596E1" w14:textId="77777777" w:rsidR="00F00BBC" w:rsidRDefault="00F00BBC" w:rsidP="00F00BBC">
            <w:pPr>
              <w:jc w:val="center"/>
              <w:rPr>
                <w:rFonts w:ascii="Arial" w:hAnsi="Arial" w:cs="Arial"/>
              </w:rPr>
            </w:pPr>
          </w:p>
          <w:p w14:paraId="2AE9ED1D" w14:textId="77777777" w:rsidR="00F00BBC" w:rsidRDefault="00F00BBC" w:rsidP="00F00BBC">
            <w:pPr>
              <w:jc w:val="center"/>
              <w:rPr>
                <w:rFonts w:ascii="Arial" w:hAnsi="Arial" w:cs="Arial"/>
              </w:rPr>
            </w:pPr>
          </w:p>
          <w:p w14:paraId="6B3A2DED" w14:textId="77777777" w:rsidR="00F00BBC" w:rsidRDefault="00F00BBC" w:rsidP="00F00BBC">
            <w:pPr>
              <w:jc w:val="center"/>
              <w:rPr>
                <w:rFonts w:ascii="Arial" w:hAnsi="Arial" w:cs="Arial"/>
              </w:rPr>
            </w:pPr>
          </w:p>
          <w:p w14:paraId="3200C660" w14:textId="77777777" w:rsidR="00F00BBC" w:rsidRDefault="00F00BBC" w:rsidP="00F00BBC">
            <w:pPr>
              <w:jc w:val="center"/>
              <w:rPr>
                <w:rFonts w:ascii="Arial" w:hAnsi="Arial" w:cs="Arial"/>
              </w:rPr>
            </w:pPr>
          </w:p>
          <w:p w14:paraId="62C70C4B" w14:textId="77777777" w:rsidR="00F00BBC" w:rsidRDefault="00F00BBC" w:rsidP="00F00BBC">
            <w:pPr>
              <w:jc w:val="center"/>
              <w:rPr>
                <w:rFonts w:ascii="Arial" w:hAnsi="Arial" w:cs="Arial"/>
              </w:rPr>
            </w:pPr>
          </w:p>
          <w:p w14:paraId="092F74AA" w14:textId="77777777" w:rsidR="00F00BBC" w:rsidRDefault="00F00BBC" w:rsidP="00F00BBC">
            <w:pPr>
              <w:jc w:val="center"/>
              <w:rPr>
                <w:rFonts w:ascii="Arial" w:hAnsi="Arial" w:cs="Arial"/>
              </w:rPr>
            </w:pPr>
          </w:p>
          <w:p w14:paraId="7C9B41F2" w14:textId="77777777" w:rsidR="00F00BBC" w:rsidRDefault="00F00BBC" w:rsidP="00F00BBC">
            <w:pPr>
              <w:jc w:val="center"/>
              <w:rPr>
                <w:rFonts w:ascii="Arial" w:hAnsi="Arial" w:cs="Arial"/>
              </w:rPr>
            </w:pPr>
          </w:p>
          <w:p w14:paraId="6B3DD6D9" w14:textId="77777777" w:rsidR="00F00BBC" w:rsidRDefault="00F00BBC" w:rsidP="00F00BBC">
            <w:pPr>
              <w:jc w:val="center"/>
              <w:rPr>
                <w:rFonts w:ascii="Arial" w:hAnsi="Arial" w:cs="Arial"/>
              </w:rPr>
            </w:pPr>
          </w:p>
          <w:p w14:paraId="3E683F70" w14:textId="77777777" w:rsidR="00F00BBC" w:rsidRDefault="00F00BBC" w:rsidP="00F00BBC">
            <w:pPr>
              <w:jc w:val="center"/>
              <w:rPr>
                <w:rFonts w:ascii="Arial" w:hAnsi="Arial" w:cs="Arial"/>
              </w:rPr>
            </w:pPr>
          </w:p>
          <w:p w14:paraId="60C5871C" w14:textId="77777777" w:rsidR="00F00BBC" w:rsidRDefault="00F00BBC" w:rsidP="00F00B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Continuous</w:t>
            </w:r>
          </w:p>
          <w:p w14:paraId="14DD3416" w14:textId="77777777" w:rsidR="00F00BBC" w:rsidRDefault="00F00BBC" w:rsidP="00F00BBC">
            <w:pPr>
              <w:jc w:val="center"/>
              <w:rPr>
                <w:rFonts w:ascii="Arial" w:hAnsi="Arial" w:cs="Arial"/>
              </w:rPr>
            </w:pPr>
          </w:p>
          <w:p w14:paraId="0523ED96" w14:textId="77777777" w:rsidR="00F00BBC" w:rsidRDefault="00F00BBC" w:rsidP="00F00BBC">
            <w:pPr>
              <w:jc w:val="center"/>
              <w:rPr>
                <w:rFonts w:ascii="Arial" w:hAnsi="Arial" w:cs="Arial"/>
              </w:rPr>
            </w:pPr>
          </w:p>
          <w:p w14:paraId="64901B74" w14:textId="037316B1" w:rsidR="00F00BBC" w:rsidRPr="00E1183C" w:rsidRDefault="00F00BBC" w:rsidP="00F00B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0" w:type="dxa"/>
            <w:vMerge w:val="restart"/>
          </w:tcPr>
          <w:p w14:paraId="68B7B61D" w14:textId="77777777" w:rsidR="00F00BBC" w:rsidRPr="006A6D4D" w:rsidRDefault="00F00BBC" w:rsidP="004F3BE2">
            <w:pPr>
              <w:rPr>
                <w:rFonts w:ascii="Arial" w:hAnsi="Arial" w:cs="Arial"/>
              </w:rPr>
            </w:pPr>
            <w:r w:rsidRPr="006A6D4D">
              <w:rPr>
                <w:rFonts w:ascii="Arial" w:hAnsi="Arial" w:cs="Arial"/>
              </w:rPr>
              <w:t>100% Compliant</w:t>
            </w:r>
          </w:p>
          <w:p w14:paraId="6AD25970" w14:textId="77777777" w:rsidR="00F00BBC" w:rsidRPr="006A6D4D" w:rsidRDefault="00F00BBC" w:rsidP="004F3BE2">
            <w:pPr>
              <w:rPr>
                <w:rFonts w:ascii="Arial" w:hAnsi="Arial" w:cs="Arial"/>
              </w:rPr>
            </w:pPr>
          </w:p>
          <w:p w14:paraId="22BE14E7" w14:textId="0BBCF6E2" w:rsidR="00F00BBC" w:rsidRPr="006A6D4D" w:rsidRDefault="00F00BBC" w:rsidP="004F3BE2">
            <w:pPr>
              <w:rPr>
                <w:rFonts w:ascii="Arial" w:hAnsi="Arial" w:cs="Arial"/>
              </w:rPr>
            </w:pPr>
            <w:r w:rsidRPr="006A6D4D">
              <w:rPr>
                <w:rFonts w:ascii="Arial" w:hAnsi="Arial" w:cs="Arial"/>
              </w:rPr>
              <w:t>The first instance of failure within the life of the contract to meet this KPI will require the contractor to provide a written guarantee of future compliance.</w:t>
            </w:r>
          </w:p>
          <w:p w14:paraId="71349517" w14:textId="77777777" w:rsidR="00F00BBC" w:rsidRPr="006A6D4D" w:rsidRDefault="00F00BBC" w:rsidP="004F3BE2">
            <w:pPr>
              <w:rPr>
                <w:rFonts w:ascii="Arial" w:hAnsi="Arial" w:cs="Arial"/>
              </w:rPr>
            </w:pPr>
          </w:p>
          <w:p w14:paraId="2F146822" w14:textId="6136FF99" w:rsidR="00F00BBC" w:rsidRPr="006A6D4D" w:rsidRDefault="00F00BBC" w:rsidP="004F3BE2">
            <w:pPr>
              <w:rPr>
                <w:rFonts w:ascii="Arial" w:hAnsi="Arial" w:cs="Arial"/>
              </w:rPr>
            </w:pPr>
            <w:r w:rsidRPr="006A6D4D">
              <w:rPr>
                <w:rFonts w:ascii="Arial" w:hAnsi="Arial" w:cs="Arial"/>
              </w:rPr>
              <w:t>Any second and subsequent failures to meet this KPI within the life of the contract will result in the deduction of 5</w:t>
            </w:r>
            <w:r>
              <w:rPr>
                <w:rFonts w:ascii="Arial" w:hAnsi="Arial" w:cs="Arial"/>
              </w:rPr>
              <w:t>0</w:t>
            </w:r>
            <w:r w:rsidRPr="006A6D4D">
              <w:rPr>
                <w:rFonts w:ascii="Arial" w:hAnsi="Arial" w:cs="Arial"/>
              </w:rPr>
              <w:t xml:space="preserve">% of the total site invoice for each recorded incident of failure. </w:t>
            </w:r>
          </w:p>
          <w:p w14:paraId="3A6C9A4F" w14:textId="77777777" w:rsidR="00F00BBC" w:rsidRPr="006A6D4D" w:rsidRDefault="00F00BBC" w:rsidP="004F3BE2">
            <w:pPr>
              <w:rPr>
                <w:rFonts w:ascii="Arial" w:hAnsi="Arial" w:cs="Arial"/>
              </w:rPr>
            </w:pPr>
          </w:p>
          <w:p w14:paraId="0F856043" w14:textId="3CEBBADE" w:rsidR="00F00BBC" w:rsidRPr="00C30547" w:rsidRDefault="00F00BBC" w:rsidP="004F3BE2">
            <w:pPr>
              <w:rPr>
                <w:rFonts w:ascii="Arial" w:hAnsi="Arial" w:cs="Arial"/>
              </w:rPr>
            </w:pPr>
            <w:r w:rsidRPr="006A6D4D">
              <w:rPr>
                <w:rFonts w:ascii="Arial" w:hAnsi="Arial" w:cs="Arial"/>
              </w:rPr>
              <w:t>The contractor to present to the Trust’s Contract Leads a detailed written action plan to prevent recurrence.</w:t>
            </w:r>
          </w:p>
        </w:tc>
        <w:tc>
          <w:tcPr>
            <w:tcW w:w="5739" w:type="dxa"/>
            <w:vMerge w:val="restart"/>
          </w:tcPr>
          <w:p w14:paraId="7F6E1C9D" w14:textId="20BB39AF" w:rsidR="00F00BBC" w:rsidRDefault="00F00BBC" w:rsidP="000F200E">
            <w:pPr>
              <w:rPr>
                <w:rFonts w:ascii="Arial" w:eastAsia="Times" w:hAnsi="Arial" w:cs="Arial"/>
                <w:sz w:val="20"/>
                <w:szCs w:val="20"/>
                <w:highlight w:val="yellow"/>
              </w:rPr>
            </w:pPr>
            <w:r w:rsidRPr="006A6D4D">
              <w:rPr>
                <w:rFonts w:ascii="Arial" w:hAnsi="Arial" w:cs="Arial"/>
              </w:rPr>
              <w:t xml:space="preserve">Any second and subsequent failures to meet this KPI within the </w:t>
            </w:r>
            <w:r w:rsidR="00F6092F">
              <w:rPr>
                <w:rFonts w:ascii="Arial" w:hAnsi="Arial" w:cs="Arial"/>
              </w:rPr>
              <w:t>timescales advised</w:t>
            </w:r>
            <w:r w:rsidRPr="006A6D4D">
              <w:rPr>
                <w:rFonts w:ascii="Arial" w:hAnsi="Arial" w:cs="Arial"/>
              </w:rPr>
              <w:t xml:space="preserve"> will result in the deduction of 5</w:t>
            </w:r>
            <w:r>
              <w:rPr>
                <w:rFonts w:ascii="Arial" w:hAnsi="Arial" w:cs="Arial"/>
              </w:rPr>
              <w:t>0</w:t>
            </w:r>
            <w:r w:rsidRPr="006A6D4D">
              <w:rPr>
                <w:rFonts w:ascii="Arial" w:hAnsi="Arial" w:cs="Arial"/>
              </w:rPr>
              <w:t>% of the total site invoice for each recorded incident of failure</w:t>
            </w:r>
            <w:r w:rsidRPr="000F200E">
              <w:rPr>
                <w:rFonts w:ascii="Arial" w:eastAsia="Times" w:hAnsi="Arial" w:cs="Arial"/>
                <w:sz w:val="20"/>
                <w:szCs w:val="20"/>
                <w:highlight w:val="yellow"/>
              </w:rPr>
              <w:t xml:space="preserve"> </w:t>
            </w:r>
          </w:p>
          <w:p w14:paraId="08222269" w14:textId="77777777" w:rsidR="00F00BBC" w:rsidRPr="000F200E" w:rsidRDefault="00F00BBC" w:rsidP="000F200E">
            <w:pPr>
              <w:rPr>
                <w:rFonts w:ascii="Arial" w:eastAsia="Times" w:hAnsi="Arial" w:cs="Arial"/>
                <w:sz w:val="20"/>
                <w:szCs w:val="20"/>
                <w:highlight w:val="yellow"/>
              </w:rPr>
            </w:pPr>
          </w:p>
          <w:p w14:paraId="24C45BD1" w14:textId="3E4CB99B" w:rsidR="00F00BBC" w:rsidRPr="000F200E" w:rsidRDefault="00F00BBC" w:rsidP="000F200E">
            <w:pPr>
              <w:rPr>
                <w:rFonts w:ascii="Arial" w:hAnsi="Arial" w:cs="Arial"/>
                <w:highlight w:val="yellow"/>
              </w:rPr>
            </w:pPr>
            <w:r w:rsidRPr="000729F4">
              <w:rPr>
                <w:rFonts w:ascii="Arial" w:eastAsia="Times" w:hAnsi="Arial" w:cs="Arial"/>
                <w:sz w:val="20"/>
                <w:szCs w:val="20"/>
              </w:rPr>
              <w:t>If there are more than 4 service credit penalties in one financial year, a service review will be undertaken</w:t>
            </w:r>
          </w:p>
        </w:tc>
      </w:tr>
      <w:tr w:rsidR="00F00BBC" w:rsidRPr="00E1183C" w14:paraId="664A2A6F" w14:textId="17FEF477" w:rsidTr="000F200E">
        <w:trPr>
          <w:trHeight w:val="1000"/>
        </w:trPr>
        <w:tc>
          <w:tcPr>
            <w:tcW w:w="590" w:type="dxa"/>
          </w:tcPr>
          <w:p w14:paraId="664A2A66" w14:textId="4F8CEE88" w:rsidR="00F00BBC" w:rsidRPr="00E1183C" w:rsidRDefault="00F00B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69" w:type="dxa"/>
          </w:tcPr>
          <w:p w14:paraId="664A2A67" w14:textId="3CF27CD5" w:rsidR="00F00BBC" w:rsidRPr="001F2484" w:rsidRDefault="00F00BBC" w:rsidP="00B821F0">
            <w:pPr>
              <w:rPr>
                <w:rFonts w:ascii="Arial" w:hAnsi="Arial" w:cs="Arial"/>
              </w:rPr>
            </w:pPr>
            <w:r w:rsidRPr="001F2484">
              <w:rPr>
                <w:rFonts w:ascii="Arial" w:hAnsi="Arial" w:cs="Arial"/>
              </w:rPr>
              <w:t>Turnaround of clinical areas within agreed timeframe</w:t>
            </w:r>
            <w:r>
              <w:rPr>
                <w:rFonts w:ascii="Arial" w:hAnsi="Arial" w:cs="Arial"/>
              </w:rPr>
              <w:t xml:space="preserve"> -</w:t>
            </w:r>
            <w:r w:rsidRPr="000729F4">
              <w:rPr>
                <w:rFonts w:ascii="Arial" w:hAnsi="Arial" w:cs="Arial"/>
              </w:rPr>
              <w:t>2 failures within a 3 month</w:t>
            </w:r>
            <w:r>
              <w:rPr>
                <w:rFonts w:ascii="Arial" w:hAnsi="Arial" w:cs="Arial"/>
              </w:rPr>
              <w:t xml:space="preserve"> period</w:t>
            </w:r>
          </w:p>
        </w:tc>
        <w:tc>
          <w:tcPr>
            <w:tcW w:w="1418" w:type="dxa"/>
            <w:vMerge/>
          </w:tcPr>
          <w:p w14:paraId="708E0AA5" w14:textId="53A1DB9E" w:rsidR="00F00BBC" w:rsidRPr="00C64E7E" w:rsidRDefault="00F00BBC" w:rsidP="005B5891">
            <w:pPr>
              <w:rPr>
                <w:rFonts w:ascii="Arial" w:hAnsi="Arial" w:cs="Arial"/>
              </w:rPr>
            </w:pPr>
          </w:p>
        </w:tc>
        <w:tc>
          <w:tcPr>
            <w:tcW w:w="4110" w:type="dxa"/>
            <w:vMerge/>
          </w:tcPr>
          <w:p w14:paraId="19DBAF30" w14:textId="37E1B3B3" w:rsidR="00F00BBC" w:rsidRPr="00C64E7E" w:rsidRDefault="00F00BBC" w:rsidP="004F3BE2">
            <w:pPr>
              <w:rPr>
                <w:rFonts w:ascii="Arial" w:hAnsi="Arial" w:cs="Arial"/>
              </w:rPr>
            </w:pPr>
          </w:p>
        </w:tc>
        <w:tc>
          <w:tcPr>
            <w:tcW w:w="5739" w:type="dxa"/>
            <w:vMerge/>
          </w:tcPr>
          <w:p w14:paraId="3D4C63ED" w14:textId="4F915620" w:rsidR="00F00BBC" w:rsidRPr="00C64E7E" w:rsidRDefault="00F00BBC" w:rsidP="0049050A">
            <w:pPr>
              <w:rPr>
                <w:rFonts w:ascii="Arial" w:hAnsi="Arial" w:cs="Arial"/>
              </w:rPr>
            </w:pPr>
          </w:p>
        </w:tc>
      </w:tr>
      <w:tr w:rsidR="00F00BBC" w:rsidRPr="00E1183C" w14:paraId="41593756" w14:textId="77777777" w:rsidTr="000F200E">
        <w:trPr>
          <w:trHeight w:val="1000"/>
        </w:trPr>
        <w:tc>
          <w:tcPr>
            <w:tcW w:w="590" w:type="dxa"/>
          </w:tcPr>
          <w:p w14:paraId="47C1B4D4" w14:textId="16ACB1F1" w:rsidR="00F00BBC" w:rsidRDefault="00F00B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169" w:type="dxa"/>
          </w:tcPr>
          <w:p w14:paraId="6D430314" w14:textId="039129F1" w:rsidR="00F00BBC" w:rsidRPr="001F2484" w:rsidRDefault="00F00BBC" w:rsidP="00B821F0">
            <w:pPr>
              <w:rPr>
                <w:rFonts w:ascii="Arial" w:hAnsi="Arial" w:cs="Arial"/>
              </w:rPr>
            </w:pPr>
            <w:r w:rsidRPr="000729F4">
              <w:rPr>
                <w:rFonts w:ascii="Arial" w:hAnsi="Arial" w:cs="Arial"/>
              </w:rPr>
              <w:t>Quarterly statistical report showing deployments and reasons for – 1 failure (late or no report)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8" w:type="dxa"/>
            <w:vMerge/>
          </w:tcPr>
          <w:p w14:paraId="3ED9FCD8" w14:textId="77777777" w:rsidR="00F00BBC" w:rsidRPr="00C64E7E" w:rsidRDefault="00F00BBC" w:rsidP="005B5891">
            <w:pPr>
              <w:rPr>
                <w:rFonts w:ascii="Arial" w:hAnsi="Arial" w:cs="Arial"/>
              </w:rPr>
            </w:pPr>
          </w:p>
        </w:tc>
        <w:tc>
          <w:tcPr>
            <w:tcW w:w="4110" w:type="dxa"/>
          </w:tcPr>
          <w:p w14:paraId="4BC5B792" w14:textId="7DAB4274" w:rsidR="00F00BBC" w:rsidRPr="00C64E7E" w:rsidRDefault="00F00BBC" w:rsidP="004F3B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Delivery of the report within 5 working days of the end of the quarter.</w:t>
            </w:r>
          </w:p>
        </w:tc>
        <w:tc>
          <w:tcPr>
            <w:tcW w:w="5739" w:type="dxa"/>
          </w:tcPr>
          <w:p w14:paraId="7B20325A" w14:textId="2E2162DD" w:rsidR="00F00BBC" w:rsidRDefault="00F00BBC" w:rsidP="004905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Noted as a service failure, no financial implications.</w:t>
            </w:r>
          </w:p>
        </w:tc>
      </w:tr>
      <w:tr w:rsidR="00F00BBC" w:rsidRPr="00E1183C" w14:paraId="1EF2FA27" w14:textId="77777777" w:rsidTr="000F200E">
        <w:trPr>
          <w:trHeight w:val="1000"/>
        </w:trPr>
        <w:tc>
          <w:tcPr>
            <w:tcW w:w="590" w:type="dxa"/>
          </w:tcPr>
          <w:p w14:paraId="70EDE91D" w14:textId="6A737F36" w:rsidR="00F00BBC" w:rsidRDefault="00F00B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169" w:type="dxa"/>
          </w:tcPr>
          <w:p w14:paraId="7214F019" w14:textId="46CEC232" w:rsidR="00F00BBC" w:rsidRPr="001F2484" w:rsidRDefault="00F00BBC" w:rsidP="00B821F0">
            <w:pPr>
              <w:rPr>
                <w:rFonts w:ascii="Arial" w:hAnsi="Arial" w:cs="Arial"/>
              </w:rPr>
            </w:pPr>
            <w:r w:rsidRPr="000729F4">
              <w:rPr>
                <w:rFonts w:ascii="Arial" w:hAnsi="Arial" w:cs="Arial"/>
              </w:rPr>
              <w:t>Ability to respond to requests for decontamination outside usual working hours – 3 failures</w:t>
            </w:r>
            <w:r>
              <w:rPr>
                <w:rFonts w:ascii="Arial" w:hAnsi="Arial" w:cs="Arial"/>
              </w:rPr>
              <w:t xml:space="preserve"> within a 6 month period</w:t>
            </w:r>
          </w:p>
        </w:tc>
        <w:tc>
          <w:tcPr>
            <w:tcW w:w="1418" w:type="dxa"/>
            <w:vMerge/>
          </w:tcPr>
          <w:p w14:paraId="284BE4F2" w14:textId="77777777" w:rsidR="00F00BBC" w:rsidRPr="00C64E7E" w:rsidRDefault="00F00BBC" w:rsidP="005B5891">
            <w:pPr>
              <w:rPr>
                <w:rFonts w:ascii="Arial" w:hAnsi="Arial" w:cs="Arial"/>
              </w:rPr>
            </w:pPr>
          </w:p>
        </w:tc>
        <w:tc>
          <w:tcPr>
            <w:tcW w:w="4110" w:type="dxa"/>
          </w:tcPr>
          <w:p w14:paraId="029AE71E" w14:textId="2AAC0D1E" w:rsidR="00F00BBC" w:rsidRPr="00C64E7E" w:rsidRDefault="00F00BBC" w:rsidP="004F3B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response received within 5 hours of making the request.</w:t>
            </w:r>
          </w:p>
        </w:tc>
        <w:tc>
          <w:tcPr>
            <w:tcW w:w="5739" w:type="dxa"/>
          </w:tcPr>
          <w:p w14:paraId="0BA11D27" w14:textId="500562C9" w:rsidR="00F00BBC" w:rsidRDefault="00F00BBC" w:rsidP="004905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Noted as a service failure, no financial implications</w:t>
            </w:r>
          </w:p>
        </w:tc>
      </w:tr>
    </w:tbl>
    <w:p w14:paraId="386F50D6" w14:textId="77777777" w:rsidR="00E40E83" w:rsidRDefault="00E40E83" w:rsidP="000F200E"/>
    <w:sectPr w:rsidR="00E40E83" w:rsidSect="00A24911">
      <w:headerReference w:type="default" r:id="rId9"/>
      <w:footerReference w:type="default" r:id="rId10"/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37BFE" w14:textId="77777777" w:rsidR="0063199D" w:rsidRDefault="0063199D" w:rsidP="00F5498F">
      <w:pPr>
        <w:spacing w:after="0" w:line="240" w:lineRule="auto"/>
      </w:pPr>
      <w:r>
        <w:separator/>
      </w:r>
    </w:p>
  </w:endnote>
  <w:endnote w:type="continuationSeparator" w:id="0">
    <w:p w14:paraId="19B5E78F" w14:textId="77777777" w:rsidR="0063199D" w:rsidRDefault="0063199D" w:rsidP="00F54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625982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76823B7" w14:textId="4B1ED5BB" w:rsidR="00911064" w:rsidRDefault="007F5DA9" w:rsidP="007F5DA9">
            <w:r>
              <w:t xml:space="preserve">Appendix 2 Key Performance Indicators - </w:t>
            </w:r>
            <w:r w:rsidRPr="007F5DA9">
              <w:rPr>
                <w:rFonts w:ascii="Arial" w:hAnsi="Arial" w:cs="Arial"/>
                <w:sz w:val="18"/>
                <w:szCs w:val="18"/>
              </w:rPr>
              <w:t>Provision of Bio Decontamination Services and Ultra Violet Light C Technologies</w:t>
            </w:r>
            <w:r w:rsidRPr="007F5DA9">
              <w:rPr>
                <w:rFonts w:ascii="Arial" w:hAnsi="Arial" w:cs="Arial"/>
                <w:sz w:val="18"/>
                <w:szCs w:val="18"/>
              </w:rPr>
              <w:t xml:space="preserve"> Tender Ref: RFT28084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</w:t>
            </w:r>
            <w:r w:rsidR="00911064">
              <w:t xml:space="preserve">Page </w:t>
            </w:r>
            <w:r w:rsidR="00911064">
              <w:rPr>
                <w:b/>
                <w:bCs/>
                <w:sz w:val="24"/>
                <w:szCs w:val="24"/>
              </w:rPr>
              <w:fldChar w:fldCharType="begin"/>
            </w:r>
            <w:r w:rsidR="00911064">
              <w:rPr>
                <w:b/>
                <w:bCs/>
              </w:rPr>
              <w:instrText xml:space="preserve"> PAGE </w:instrText>
            </w:r>
            <w:r w:rsidR="00911064">
              <w:rPr>
                <w:b/>
                <w:bCs/>
                <w:sz w:val="24"/>
                <w:szCs w:val="24"/>
              </w:rPr>
              <w:fldChar w:fldCharType="separate"/>
            </w:r>
            <w:r w:rsidR="00E0161C">
              <w:rPr>
                <w:b/>
                <w:bCs/>
                <w:noProof/>
              </w:rPr>
              <w:t>1</w:t>
            </w:r>
            <w:r w:rsidR="00911064">
              <w:rPr>
                <w:b/>
                <w:bCs/>
                <w:sz w:val="24"/>
                <w:szCs w:val="24"/>
              </w:rPr>
              <w:fldChar w:fldCharType="end"/>
            </w:r>
            <w:r w:rsidR="00911064">
              <w:t xml:space="preserve"> of </w:t>
            </w:r>
            <w:r w:rsidR="00911064">
              <w:rPr>
                <w:b/>
                <w:bCs/>
                <w:sz w:val="24"/>
                <w:szCs w:val="24"/>
              </w:rPr>
              <w:fldChar w:fldCharType="begin"/>
            </w:r>
            <w:r w:rsidR="00911064">
              <w:rPr>
                <w:b/>
                <w:bCs/>
              </w:rPr>
              <w:instrText xml:space="preserve"> NUMPAGES  </w:instrText>
            </w:r>
            <w:r w:rsidR="00911064">
              <w:rPr>
                <w:b/>
                <w:bCs/>
                <w:sz w:val="24"/>
                <w:szCs w:val="24"/>
              </w:rPr>
              <w:fldChar w:fldCharType="separate"/>
            </w:r>
            <w:r w:rsidR="00E0161C">
              <w:rPr>
                <w:b/>
                <w:bCs/>
                <w:noProof/>
              </w:rPr>
              <w:t>1</w:t>
            </w:r>
            <w:r w:rsidR="0091106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64A2B1C" w14:textId="77777777" w:rsidR="00C64E7E" w:rsidRDefault="00C64E7E">
    <w:pPr>
      <w:pStyle w:val="Footer"/>
    </w:pPr>
  </w:p>
  <w:p w14:paraId="6ABA3633" w14:textId="77777777" w:rsidR="007F5DA9" w:rsidRDefault="007F5D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5D13B7" w14:textId="77777777" w:rsidR="0063199D" w:rsidRDefault="0063199D" w:rsidP="00F5498F">
      <w:pPr>
        <w:spacing w:after="0" w:line="240" w:lineRule="auto"/>
      </w:pPr>
      <w:r>
        <w:separator/>
      </w:r>
    </w:p>
  </w:footnote>
  <w:footnote w:type="continuationSeparator" w:id="0">
    <w:p w14:paraId="04FCEBAC" w14:textId="77777777" w:rsidR="0063199D" w:rsidRDefault="0063199D" w:rsidP="00F54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4A2B19" w14:textId="015C83CB" w:rsidR="00C64E7E" w:rsidRDefault="00D12223" w:rsidP="00B821F0">
    <w:pPr>
      <w:pStyle w:val="Header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 xml:space="preserve"> </w:t>
    </w:r>
  </w:p>
  <w:p w14:paraId="1561A19A" w14:textId="51661DE3" w:rsidR="006C4672" w:rsidRDefault="006C4672" w:rsidP="006C4672">
    <w:pPr>
      <w:pStyle w:val="Header"/>
      <w:rPr>
        <w:rFonts w:ascii="Arial" w:hAnsi="Arial" w:cs="Arial"/>
        <w:b/>
      </w:rPr>
    </w:pPr>
  </w:p>
  <w:p w14:paraId="664A2B1A" w14:textId="77777777" w:rsidR="00C64E7E" w:rsidRDefault="00C64E7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B5359"/>
    <w:multiLevelType w:val="hybridMultilevel"/>
    <w:tmpl w:val="3CB42012"/>
    <w:lvl w:ilvl="0" w:tplc="1F56976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93E5A"/>
    <w:multiLevelType w:val="hybridMultilevel"/>
    <w:tmpl w:val="A4BE9E1C"/>
    <w:lvl w:ilvl="0" w:tplc="BCC8F0C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D522E9"/>
    <w:multiLevelType w:val="hybridMultilevel"/>
    <w:tmpl w:val="67685980"/>
    <w:lvl w:ilvl="0" w:tplc="73B6AC7A"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2D76F2"/>
    <w:multiLevelType w:val="hybridMultilevel"/>
    <w:tmpl w:val="ADFE8FD4"/>
    <w:lvl w:ilvl="0" w:tplc="8EA25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E7644C"/>
    <w:multiLevelType w:val="hybridMultilevel"/>
    <w:tmpl w:val="EEFAB636"/>
    <w:lvl w:ilvl="0" w:tplc="D1A0872A">
      <w:start w:val="1"/>
      <w:numFmt w:val="lowerRoman"/>
      <w:lvlText w:val="(%1)"/>
      <w:lvlJc w:val="left"/>
      <w:pPr>
        <w:ind w:left="1080" w:hanging="720"/>
      </w:pPr>
      <w:rPr>
        <w:rFonts w:ascii="Arial" w:eastAsiaTheme="minorHAnsi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93F"/>
    <w:rsid w:val="00003F49"/>
    <w:rsid w:val="00055B68"/>
    <w:rsid w:val="00060238"/>
    <w:rsid w:val="000658C8"/>
    <w:rsid w:val="000659FC"/>
    <w:rsid w:val="000729F4"/>
    <w:rsid w:val="00075FC3"/>
    <w:rsid w:val="00086AAB"/>
    <w:rsid w:val="00087695"/>
    <w:rsid w:val="000B536F"/>
    <w:rsid w:val="000E1CA9"/>
    <w:rsid w:val="000E3FDE"/>
    <w:rsid w:val="000E7BB8"/>
    <w:rsid w:val="000F200E"/>
    <w:rsid w:val="00121AC3"/>
    <w:rsid w:val="0013341F"/>
    <w:rsid w:val="00134645"/>
    <w:rsid w:val="001546B6"/>
    <w:rsid w:val="00154DF6"/>
    <w:rsid w:val="0015693F"/>
    <w:rsid w:val="0016523E"/>
    <w:rsid w:val="0017003C"/>
    <w:rsid w:val="00175C7C"/>
    <w:rsid w:val="001A33BB"/>
    <w:rsid w:val="001B183F"/>
    <w:rsid w:val="001E34AE"/>
    <w:rsid w:val="001F2484"/>
    <w:rsid w:val="002224CF"/>
    <w:rsid w:val="00236507"/>
    <w:rsid w:val="00243AF5"/>
    <w:rsid w:val="00257D70"/>
    <w:rsid w:val="002666EF"/>
    <w:rsid w:val="00270D15"/>
    <w:rsid w:val="00281CE7"/>
    <w:rsid w:val="00284FCB"/>
    <w:rsid w:val="002A65A0"/>
    <w:rsid w:val="002B434E"/>
    <w:rsid w:val="002E4C20"/>
    <w:rsid w:val="0030004C"/>
    <w:rsid w:val="00301263"/>
    <w:rsid w:val="00305776"/>
    <w:rsid w:val="0031534C"/>
    <w:rsid w:val="00315565"/>
    <w:rsid w:val="003250F1"/>
    <w:rsid w:val="003403C1"/>
    <w:rsid w:val="003735E2"/>
    <w:rsid w:val="0038068E"/>
    <w:rsid w:val="00387A47"/>
    <w:rsid w:val="003944D5"/>
    <w:rsid w:val="003C3E1A"/>
    <w:rsid w:val="003E4CA2"/>
    <w:rsid w:val="003F30FB"/>
    <w:rsid w:val="004062DF"/>
    <w:rsid w:val="00414BA3"/>
    <w:rsid w:val="00432FA9"/>
    <w:rsid w:val="00450142"/>
    <w:rsid w:val="00455A85"/>
    <w:rsid w:val="004616D6"/>
    <w:rsid w:val="0049050A"/>
    <w:rsid w:val="004931CF"/>
    <w:rsid w:val="004964BA"/>
    <w:rsid w:val="004A6349"/>
    <w:rsid w:val="004C5944"/>
    <w:rsid w:val="004D30BB"/>
    <w:rsid w:val="004F340A"/>
    <w:rsid w:val="004F3BE2"/>
    <w:rsid w:val="00510BAE"/>
    <w:rsid w:val="005135CC"/>
    <w:rsid w:val="005302E7"/>
    <w:rsid w:val="00557C11"/>
    <w:rsid w:val="005B5891"/>
    <w:rsid w:val="005C606A"/>
    <w:rsid w:val="005C7757"/>
    <w:rsid w:val="005D3055"/>
    <w:rsid w:val="006003E5"/>
    <w:rsid w:val="006070F7"/>
    <w:rsid w:val="00607903"/>
    <w:rsid w:val="006121F1"/>
    <w:rsid w:val="0061684D"/>
    <w:rsid w:val="00625496"/>
    <w:rsid w:val="0063199D"/>
    <w:rsid w:val="006379F2"/>
    <w:rsid w:val="00651AD8"/>
    <w:rsid w:val="006A6D4D"/>
    <w:rsid w:val="006A7363"/>
    <w:rsid w:val="006C4672"/>
    <w:rsid w:val="006C5CAE"/>
    <w:rsid w:val="006C6E4A"/>
    <w:rsid w:val="006D0A34"/>
    <w:rsid w:val="006E50CB"/>
    <w:rsid w:val="006F1320"/>
    <w:rsid w:val="00732C40"/>
    <w:rsid w:val="0075445D"/>
    <w:rsid w:val="00761C94"/>
    <w:rsid w:val="00770BA4"/>
    <w:rsid w:val="007761C7"/>
    <w:rsid w:val="00790FED"/>
    <w:rsid w:val="007953DE"/>
    <w:rsid w:val="007B2C98"/>
    <w:rsid w:val="007B3C43"/>
    <w:rsid w:val="007B5341"/>
    <w:rsid w:val="007F15FE"/>
    <w:rsid w:val="007F28E0"/>
    <w:rsid w:val="007F5DA9"/>
    <w:rsid w:val="00800A65"/>
    <w:rsid w:val="00801005"/>
    <w:rsid w:val="00802A09"/>
    <w:rsid w:val="00816102"/>
    <w:rsid w:val="008225D9"/>
    <w:rsid w:val="0083598A"/>
    <w:rsid w:val="00854CF8"/>
    <w:rsid w:val="0085665B"/>
    <w:rsid w:val="00873A6E"/>
    <w:rsid w:val="008B1C1A"/>
    <w:rsid w:val="008C03FD"/>
    <w:rsid w:val="008C210E"/>
    <w:rsid w:val="008C7866"/>
    <w:rsid w:val="008D3987"/>
    <w:rsid w:val="008E0580"/>
    <w:rsid w:val="008E505B"/>
    <w:rsid w:val="00901BBE"/>
    <w:rsid w:val="00911064"/>
    <w:rsid w:val="0093308E"/>
    <w:rsid w:val="0094537B"/>
    <w:rsid w:val="0094727F"/>
    <w:rsid w:val="009551C0"/>
    <w:rsid w:val="009811C9"/>
    <w:rsid w:val="00984F05"/>
    <w:rsid w:val="009C6360"/>
    <w:rsid w:val="009D2D7D"/>
    <w:rsid w:val="009E10BC"/>
    <w:rsid w:val="009E2F30"/>
    <w:rsid w:val="009E488A"/>
    <w:rsid w:val="00A20D10"/>
    <w:rsid w:val="00A24911"/>
    <w:rsid w:val="00A271C0"/>
    <w:rsid w:val="00A32D4F"/>
    <w:rsid w:val="00A3610F"/>
    <w:rsid w:val="00A40788"/>
    <w:rsid w:val="00A661E0"/>
    <w:rsid w:val="00A666B5"/>
    <w:rsid w:val="00A72B5B"/>
    <w:rsid w:val="00AA13A8"/>
    <w:rsid w:val="00AA60DE"/>
    <w:rsid w:val="00AE1F5A"/>
    <w:rsid w:val="00AF6C55"/>
    <w:rsid w:val="00B00515"/>
    <w:rsid w:val="00B43132"/>
    <w:rsid w:val="00B60677"/>
    <w:rsid w:val="00B821F0"/>
    <w:rsid w:val="00B87CC7"/>
    <w:rsid w:val="00BD4FB7"/>
    <w:rsid w:val="00BD668B"/>
    <w:rsid w:val="00BF0D60"/>
    <w:rsid w:val="00C0176A"/>
    <w:rsid w:val="00C02B42"/>
    <w:rsid w:val="00C12E07"/>
    <w:rsid w:val="00C27B3C"/>
    <w:rsid w:val="00C30547"/>
    <w:rsid w:val="00C34DA7"/>
    <w:rsid w:val="00C54B3F"/>
    <w:rsid w:val="00C64419"/>
    <w:rsid w:val="00C64E7E"/>
    <w:rsid w:val="00C65FF2"/>
    <w:rsid w:val="00C73018"/>
    <w:rsid w:val="00C92666"/>
    <w:rsid w:val="00CB0F73"/>
    <w:rsid w:val="00CF4104"/>
    <w:rsid w:val="00CF5E07"/>
    <w:rsid w:val="00D01973"/>
    <w:rsid w:val="00D06968"/>
    <w:rsid w:val="00D12223"/>
    <w:rsid w:val="00D2130A"/>
    <w:rsid w:val="00D30624"/>
    <w:rsid w:val="00D3504C"/>
    <w:rsid w:val="00D44F72"/>
    <w:rsid w:val="00D664B6"/>
    <w:rsid w:val="00D95DE4"/>
    <w:rsid w:val="00DA114E"/>
    <w:rsid w:val="00DC0D3D"/>
    <w:rsid w:val="00DD00E6"/>
    <w:rsid w:val="00DE7A2B"/>
    <w:rsid w:val="00DF042D"/>
    <w:rsid w:val="00E0161C"/>
    <w:rsid w:val="00E1183C"/>
    <w:rsid w:val="00E31F13"/>
    <w:rsid w:val="00E40E83"/>
    <w:rsid w:val="00E7573C"/>
    <w:rsid w:val="00E87E47"/>
    <w:rsid w:val="00E9182C"/>
    <w:rsid w:val="00EA621D"/>
    <w:rsid w:val="00ED5F8E"/>
    <w:rsid w:val="00EE4513"/>
    <w:rsid w:val="00EE4980"/>
    <w:rsid w:val="00EE6573"/>
    <w:rsid w:val="00F00BBC"/>
    <w:rsid w:val="00F02D18"/>
    <w:rsid w:val="00F5498F"/>
    <w:rsid w:val="00F57672"/>
    <w:rsid w:val="00F6092F"/>
    <w:rsid w:val="00F63C05"/>
    <w:rsid w:val="00F93136"/>
    <w:rsid w:val="00F94E35"/>
    <w:rsid w:val="00FF431E"/>
    <w:rsid w:val="00FF4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64A2A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549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498F"/>
  </w:style>
  <w:style w:type="paragraph" w:styleId="Footer">
    <w:name w:val="footer"/>
    <w:basedOn w:val="Normal"/>
    <w:link w:val="FooterChar"/>
    <w:uiPriority w:val="99"/>
    <w:unhideWhenUsed/>
    <w:rsid w:val="00F549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498F"/>
  </w:style>
  <w:style w:type="character" w:styleId="CommentReference">
    <w:name w:val="annotation reference"/>
    <w:basedOn w:val="DefaultParagraphFont"/>
    <w:uiPriority w:val="99"/>
    <w:semiHidden/>
    <w:unhideWhenUsed/>
    <w:rsid w:val="006079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79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79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79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790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90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05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549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498F"/>
  </w:style>
  <w:style w:type="paragraph" w:styleId="Footer">
    <w:name w:val="footer"/>
    <w:basedOn w:val="Normal"/>
    <w:link w:val="FooterChar"/>
    <w:uiPriority w:val="99"/>
    <w:unhideWhenUsed/>
    <w:rsid w:val="00F549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498F"/>
  </w:style>
  <w:style w:type="character" w:styleId="CommentReference">
    <w:name w:val="annotation reference"/>
    <w:basedOn w:val="DefaultParagraphFont"/>
    <w:uiPriority w:val="99"/>
    <w:semiHidden/>
    <w:unhideWhenUsed/>
    <w:rsid w:val="006079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79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79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79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790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90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05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2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8D9BD-2D51-4733-9000-D07E27054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SRCL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Pagan Foong Ken</cp:lastModifiedBy>
  <cp:revision>9</cp:revision>
  <cp:lastPrinted>2016-03-24T09:03:00Z</cp:lastPrinted>
  <dcterms:created xsi:type="dcterms:W3CDTF">2017-06-20T14:38:00Z</dcterms:created>
  <dcterms:modified xsi:type="dcterms:W3CDTF">2017-06-20T15:19:00Z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words0">
    <vt:lpwstr/>
  </property>
</Properties>
</file>